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246" w:rsidRPr="00EA398A" w:rsidRDefault="00251867" w:rsidP="00FE5246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Т. 3.1 и 3.</w:t>
      </w:r>
      <w:proofErr w:type="spellStart"/>
      <w:r>
        <w:rPr>
          <w:rFonts w:ascii="Verdana" w:hAnsi="Verdana" w:cs="Times New Roman"/>
          <w:b/>
          <w:sz w:val="20"/>
          <w:szCs w:val="20"/>
        </w:rPr>
        <w:t>3</w:t>
      </w:r>
      <w:proofErr w:type="spellEnd"/>
      <w:r>
        <w:rPr>
          <w:rFonts w:ascii="Verdana" w:hAnsi="Verdana" w:cs="Times New Roman"/>
          <w:b/>
          <w:sz w:val="20"/>
          <w:szCs w:val="20"/>
        </w:rPr>
        <w:t xml:space="preserve">. </w:t>
      </w:r>
      <w:bookmarkStart w:id="0" w:name="_GoBack"/>
      <w:bookmarkEnd w:id="0"/>
      <w:r w:rsidR="008A3DF4" w:rsidRPr="00EA398A">
        <w:rPr>
          <w:rFonts w:ascii="Verdana" w:hAnsi="Verdana" w:cs="Times New Roman"/>
          <w:b/>
          <w:sz w:val="20"/>
          <w:szCs w:val="20"/>
        </w:rPr>
        <w:t>Предложение на У</w:t>
      </w:r>
      <w:r w:rsidR="00DD7EB0" w:rsidRPr="00EA398A">
        <w:rPr>
          <w:rFonts w:ascii="Verdana" w:hAnsi="Verdana" w:cs="Times New Roman"/>
          <w:b/>
          <w:sz w:val="20"/>
          <w:szCs w:val="20"/>
        </w:rPr>
        <w:t>правляващия орган</w:t>
      </w:r>
      <w:r w:rsidR="008A3DF4" w:rsidRPr="00EA398A">
        <w:rPr>
          <w:rFonts w:ascii="Verdana" w:hAnsi="Verdana" w:cs="Times New Roman"/>
          <w:b/>
          <w:sz w:val="20"/>
          <w:szCs w:val="20"/>
        </w:rPr>
        <w:t xml:space="preserve"> на П</w:t>
      </w:r>
      <w:r w:rsidR="00DD7EB0" w:rsidRPr="00EA398A">
        <w:rPr>
          <w:rFonts w:ascii="Verdana" w:hAnsi="Verdana" w:cs="Times New Roman"/>
          <w:b/>
          <w:sz w:val="20"/>
          <w:szCs w:val="20"/>
        </w:rPr>
        <w:t>рограмата за развитие на с</w:t>
      </w:r>
      <w:r w:rsidR="007C0BE3" w:rsidRPr="00EA398A">
        <w:rPr>
          <w:rFonts w:ascii="Verdana" w:hAnsi="Verdana" w:cs="Times New Roman"/>
          <w:b/>
          <w:sz w:val="20"/>
          <w:szCs w:val="20"/>
        </w:rPr>
        <w:t>елските райони 2014-2020 г.</w:t>
      </w:r>
      <w:r w:rsidR="008A3DF4" w:rsidRPr="00EA398A">
        <w:rPr>
          <w:rFonts w:ascii="Verdana" w:hAnsi="Verdana" w:cs="Times New Roman"/>
          <w:b/>
          <w:sz w:val="20"/>
          <w:szCs w:val="20"/>
        </w:rPr>
        <w:t xml:space="preserve"> за </w:t>
      </w:r>
      <w:r w:rsidR="00BB10AE" w:rsidRPr="00EA398A">
        <w:rPr>
          <w:rFonts w:ascii="Verdana" w:hAnsi="Verdana" w:cs="Times New Roman"/>
          <w:b/>
          <w:sz w:val="20"/>
          <w:szCs w:val="20"/>
        </w:rPr>
        <w:t>промяна</w:t>
      </w:r>
      <w:r w:rsidR="008A3DF4" w:rsidRPr="00EA398A">
        <w:rPr>
          <w:rFonts w:ascii="Verdana" w:hAnsi="Verdana" w:cs="Times New Roman"/>
          <w:b/>
          <w:sz w:val="20"/>
          <w:szCs w:val="20"/>
        </w:rPr>
        <w:t xml:space="preserve"> на текста на</w:t>
      </w:r>
      <w:r w:rsidR="004352A2" w:rsidRPr="00EA398A">
        <w:rPr>
          <w:rFonts w:ascii="Verdana" w:hAnsi="Verdana" w:cs="Times New Roman"/>
          <w:b/>
          <w:sz w:val="20"/>
          <w:szCs w:val="20"/>
        </w:rPr>
        <w:t xml:space="preserve"> </w:t>
      </w:r>
    </w:p>
    <w:p w:rsidR="00BB10AE" w:rsidRPr="00EA398A" w:rsidRDefault="00BB10AE" w:rsidP="00BB10AE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proofErr w:type="spellStart"/>
      <w:r w:rsidRPr="00EA398A">
        <w:rPr>
          <w:rFonts w:ascii="Verdana" w:hAnsi="Verdana" w:cs="Times New Roman"/>
          <w:b/>
          <w:sz w:val="20"/>
          <w:szCs w:val="20"/>
        </w:rPr>
        <w:t>подмярка</w:t>
      </w:r>
      <w:proofErr w:type="spellEnd"/>
      <w:r w:rsidR="004352A2" w:rsidRPr="00EA398A">
        <w:rPr>
          <w:rFonts w:ascii="Verdana" w:hAnsi="Verdana" w:cs="Times New Roman"/>
          <w:b/>
          <w:sz w:val="20"/>
          <w:szCs w:val="20"/>
        </w:rPr>
        <w:t xml:space="preserve"> </w:t>
      </w:r>
      <w:r w:rsidRPr="00EA398A">
        <w:rPr>
          <w:rFonts w:ascii="Verdana" w:hAnsi="Verdana" w:cs="Times New Roman"/>
          <w:b/>
          <w:sz w:val="20"/>
          <w:szCs w:val="20"/>
        </w:rPr>
        <w:t>1.</w:t>
      </w:r>
      <w:proofErr w:type="spellStart"/>
      <w:r w:rsidRPr="00EA398A">
        <w:rPr>
          <w:rFonts w:ascii="Verdana" w:hAnsi="Verdana" w:cs="Times New Roman"/>
          <w:b/>
          <w:sz w:val="20"/>
          <w:szCs w:val="20"/>
        </w:rPr>
        <w:t>1</w:t>
      </w:r>
      <w:proofErr w:type="spellEnd"/>
      <w:r w:rsidRPr="00EA398A">
        <w:rPr>
          <w:rFonts w:ascii="Verdana" w:hAnsi="Verdana" w:cs="Times New Roman"/>
          <w:b/>
          <w:sz w:val="20"/>
          <w:szCs w:val="20"/>
        </w:rPr>
        <w:t xml:space="preserve">. </w:t>
      </w:r>
      <w:r w:rsidR="003336D4" w:rsidRPr="00EA398A">
        <w:rPr>
          <w:rFonts w:ascii="Verdana" w:hAnsi="Verdana" w:cs="Times New Roman"/>
          <w:b/>
          <w:sz w:val="20"/>
          <w:szCs w:val="20"/>
        </w:rPr>
        <w:t>„</w:t>
      </w:r>
      <w:r w:rsidRPr="00EA398A">
        <w:rPr>
          <w:rFonts w:ascii="Verdana" w:hAnsi="Verdana" w:cs="Times New Roman"/>
          <w:b/>
          <w:sz w:val="20"/>
          <w:szCs w:val="20"/>
        </w:rPr>
        <w:t>Професионално обучение и придобиване на умения</w:t>
      </w:r>
      <w:r w:rsidR="003336D4" w:rsidRPr="00EA398A">
        <w:rPr>
          <w:rFonts w:ascii="Verdana" w:hAnsi="Verdana" w:cs="Times New Roman"/>
          <w:b/>
          <w:sz w:val="20"/>
          <w:szCs w:val="20"/>
        </w:rPr>
        <w:t>“</w:t>
      </w:r>
    </w:p>
    <w:p w:rsidR="003336D4" w:rsidRPr="00EA398A" w:rsidRDefault="003336D4" w:rsidP="00DD7513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</w:p>
    <w:p w:rsidR="003336D4" w:rsidRPr="00EA398A" w:rsidRDefault="008A3DF4" w:rsidP="00666E06">
      <w:pPr>
        <w:pStyle w:val="ListParagraph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Verdana" w:hAnsi="Verdana" w:cs="Times New Roman"/>
          <w:b/>
          <w:sz w:val="20"/>
          <w:szCs w:val="20"/>
        </w:rPr>
      </w:pPr>
      <w:r w:rsidRPr="00EA398A">
        <w:rPr>
          <w:rFonts w:ascii="Verdana" w:hAnsi="Verdana" w:cs="Times New Roman"/>
          <w:b/>
          <w:sz w:val="20"/>
          <w:szCs w:val="20"/>
        </w:rPr>
        <w:t xml:space="preserve">Управляващият орган </w:t>
      </w:r>
      <w:r w:rsidR="003336D4" w:rsidRPr="00EA398A">
        <w:rPr>
          <w:rFonts w:ascii="Verdana" w:hAnsi="Verdana" w:cs="Times New Roman"/>
          <w:b/>
          <w:sz w:val="20"/>
          <w:szCs w:val="20"/>
        </w:rPr>
        <w:t xml:space="preserve">предлага </w:t>
      </w:r>
      <w:r w:rsidR="00AF50B3" w:rsidRPr="00EA398A">
        <w:rPr>
          <w:rFonts w:ascii="Verdana" w:hAnsi="Verdana" w:cs="Times New Roman"/>
          <w:b/>
          <w:sz w:val="20"/>
          <w:szCs w:val="20"/>
        </w:rPr>
        <w:t>да отпаднат вау</w:t>
      </w:r>
      <w:r w:rsidR="003336D4" w:rsidRPr="00EA398A">
        <w:rPr>
          <w:rFonts w:ascii="Verdana" w:hAnsi="Verdana" w:cs="Times New Roman"/>
          <w:b/>
          <w:sz w:val="20"/>
          <w:szCs w:val="20"/>
        </w:rPr>
        <w:t>черите, като инструмент, който</w:t>
      </w:r>
      <w:r w:rsidR="00666E06" w:rsidRPr="00EA398A">
        <w:rPr>
          <w:rFonts w:ascii="Verdana" w:hAnsi="Verdana" w:cs="Times New Roman"/>
          <w:b/>
          <w:sz w:val="20"/>
          <w:szCs w:val="20"/>
          <w:lang w:val="en-US"/>
        </w:rPr>
        <w:t xml:space="preserve"> </w:t>
      </w:r>
      <w:r w:rsidR="003336D4" w:rsidRPr="00EA398A">
        <w:rPr>
          <w:rFonts w:ascii="Verdana" w:hAnsi="Verdana" w:cs="Times New Roman"/>
          <w:b/>
          <w:sz w:val="20"/>
          <w:szCs w:val="20"/>
        </w:rPr>
        <w:t>се прилага</w:t>
      </w:r>
      <w:r w:rsidR="007C0BE3" w:rsidRPr="00EA398A">
        <w:rPr>
          <w:rFonts w:ascii="Verdana" w:hAnsi="Verdana" w:cs="Times New Roman"/>
          <w:b/>
          <w:sz w:val="20"/>
          <w:szCs w:val="20"/>
        </w:rPr>
        <w:t xml:space="preserve"> в рамките на </w:t>
      </w:r>
      <w:proofErr w:type="spellStart"/>
      <w:r w:rsidR="003336D4" w:rsidRPr="00EA398A">
        <w:rPr>
          <w:rFonts w:ascii="Verdana" w:hAnsi="Verdana" w:cs="Times New Roman"/>
          <w:b/>
          <w:sz w:val="20"/>
          <w:szCs w:val="20"/>
        </w:rPr>
        <w:t>подмярка</w:t>
      </w:r>
      <w:proofErr w:type="spellEnd"/>
      <w:r w:rsidR="003336D4" w:rsidRPr="00EA398A">
        <w:rPr>
          <w:rFonts w:ascii="Verdana" w:hAnsi="Verdana" w:cs="Times New Roman"/>
          <w:b/>
          <w:sz w:val="20"/>
          <w:szCs w:val="20"/>
        </w:rPr>
        <w:t xml:space="preserve"> 1.</w:t>
      </w:r>
      <w:proofErr w:type="spellStart"/>
      <w:r w:rsidR="003336D4" w:rsidRPr="00EA398A">
        <w:rPr>
          <w:rFonts w:ascii="Verdana" w:hAnsi="Verdana" w:cs="Times New Roman"/>
          <w:b/>
          <w:sz w:val="20"/>
          <w:szCs w:val="20"/>
        </w:rPr>
        <w:t>1</w:t>
      </w:r>
      <w:proofErr w:type="spellEnd"/>
      <w:r w:rsidR="003336D4" w:rsidRPr="00EA398A">
        <w:rPr>
          <w:rFonts w:ascii="Verdana" w:hAnsi="Verdana" w:cs="Times New Roman"/>
          <w:b/>
          <w:sz w:val="20"/>
          <w:szCs w:val="20"/>
        </w:rPr>
        <w:t>. „Професионално обучение и придобиване на умения“.</w:t>
      </w:r>
    </w:p>
    <w:p w:rsidR="00700A06" w:rsidRPr="00EA398A" w:rsidRDefault="003336D4" w:rsidP="00DD7513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 w:rsidRPr="00EA398A">
        <w:rPr>
          <w:rFonts w:ascii="Verdana" w:hAnsi="Verdana" w:cs="Times New Roman"/>
          <w:sz w:val="20"/>
          <w:szCs w:val="20"/>
        </w:rPr>
        <w:t>Ва</w:t>
      </w:r>
      <w:r w:rsidR="008C74E1" w:rsidRPr="00EA398A">
        <w:rPr>
          <w:rFonts w:ascii="Verdana" w:hAnsi="Verdana" w:cs="Times New Roman"/>
          <w:sz w:val="20"/>
          <w:szCs w:val="20"/>
        </w:rPr>
        <w:t>у</w:t>
      </w:r>
      <w:r w:rsidRPr="00EA398A">
        <w:rPr>
          <w:rFonts w:ascii="Verdana" w:hAnsi="Verdana" w:cs="Times New Roman"/>
          <w:sz w:val="20"/>
          <w:szCs w:val="20"/>
        </w:rPr>
        <w:t xml:space="preserve">черите </w:t>
      </w:r>
      <w:r w:rsidR="00700A06" w:rsidRPr="00EA398A">
        <w:rPr>
          <w:rFonts w:ascii="Verdana" w:hAnsi="Verdana" w:cs="Times New Roman"/>
          <w:sz w:val="20"/>
          <w:szCs w:val="20"/>
        </w:rPr>
        <w:t xml:space="preserve">са ценни книги с фиксирана номинална стойност в лева и даващи право на притежателя да премине определен вид обучение. За да </w:t>
      </w:r>
      <w:r w:rsidR="00313A15" w:rsidRPr="00EA398A">
        <w:rPr>
          <w:rFonts w:ascii="Verdana" w:hAnsi="Verdana" w:cs="Times New Roman"/>
          <w:sz w:val="20"/>
          <w:szCs w:val="20"/>
        </w:rPr>
        <w:t xml:space="preserve">бъдат издавани ваучери от </w:t>
      </w:r>
      <w:r w:rsidR="00700A06" w:rsidRPr="00EA398A">
        <w:rPr>
          <w:rFonts w:ascii="Verdana" w:hAnsi="Verdana" w:cs="Times New Roman"/>
          <w:sz w:val="20"/>
          <w:szCs w:val="20"/>
        </w:rPr>
        <w:t>Министерството на земеделието</w:t>
      </w:r>
      <w:r w:rsidR="00313A15" w:rsidRPr="00EA398A">
        <w:rPr>
          <w:rFonts w:ascii="Verdana" w:hAnsi="Verdana" w:cs="Times New Roman"/>
          <w:sz w:val="20"/>
          <w:szCs w:val="20"/>
        </w:rPr>
        <w:t>,</w:t>
      </w:r>
      <w:r w:rsidR="00700A06" w:rsidRPr="00EA398A">
        <w:rPr>
          <w:rFonts w:ascii="Verdana" w:hAnsi="Verdana" w:cs="Times New Roman"/>
          <w:sz w:val="20"/>
          <w:szCs w:val="20"/>
        </w:rPr>
        <w:t xml:space="preserve"> храните</w:t>
      </w:r>
      <w:r w:rsidR="00313A15" w:rsidRPr="00EA398A">
        <w:rPr>
          <w:rFonts w:ascii="Verdana" w:hAnsi="Verdana" w:cs="Times New Roman"/>
          <w:sz w:val="20"/>
          <w:szCs w:val="20"/>
        </w:rPr>
        <w:t xml:space="preserve"> и горите</w:t>
      </w:r>
      <w:r w:rsidR="00700A06" w:rsidRPr="00EA398A">
        <w:rPr>
          <w:rFonts w:ascii="Verdana" w:hAnsi="Verdana" w:cs="Times New Roman"/>
          <w:sz w:val="20"/>
          <w:szCs w:val="20"/>
        </w:rPr>
        <w:t xml:space="preserve"> е необходимо да бъде </w:t>
      </w:r>
      <w:r w:rsidR="00313A15" w:rsidRPr="00EA398A">
        <w:rPr>
          <w:rFonts w:ascii="Verdana" w:hAnsi="Verdana" w:cs="Times New Roman"/>
          <w:sz w:val="20"/>
          <w:szCs w:val="20"/>
        </w:rPr>
        <w:t>разработено и прието</w:t>
      </w:r>
      <w:r w:rsidR="00700A06" w:rsidRPr="00EA398A">
        <w:rPr>
          <w:rFonts w:ascii="Verdana" w:hAnsi="Verdana" w:cs="Times New Roman"/>
          <w:sz w:val="20"/>
          <w:szCs w:val="20"/>
        </w:rPr>
        <w:t xml:space="preserve"> постановление на </w:t>
      </w:r>
      <w:r w:rsidR="00313A15" w:rsidRPr="00EA398A">
        <w:rPr>
          <w:rFonts w:ascii="Verdana" w:hAnsi="Verdana" w:cs="Times New Roman"/>
          <w:sz w:val="20"/>
          <w:szCs w:val="20"/>
        </w:rPr>
        <w:t>М</w:t>
      </w:r>
      <w:r w:rsidR="00700A06" w:rsidRPr="00EA398A">
        <w:rPr>
          <w:rFonts w:ascii="Verdana" w:hAnsi="Verdana" w:cs="Times New Roman"/>
          <w:sz w:val="20"/>
          <w:szCs w:val="20"/>
        </w:rPr>
        <w:t>инистерския съвет</w:t>
      </w:r>
      <w:r w:rsidR="00313A15" w:rsidRPr="00EA398A">
        <w:rPr>
          <w:rFonts w:ascii="Verdana" w:hAnsi="Verdana" w:cs="Times New Roman"/>
          <w:sz w:val="20"/>
          <w:szCs w:val="20"/>
        </w:rPr>
        <w:t>, определящо</w:t>
      </w:r>
      <w:r w:rsidR="00700A06" w:rsidRPr="00EA398A">
        <w:rPr>
          <w:rFonts w:ascii="Verdana" w:hAnsi="Verdana" w:cs="Times New Roman"/>
          <w:sz w:val="20"/>
          <w:szCs w:val="20"/>
        </w:rPr>
        <w:t xml:space="preserve"> правно основание за предприемане на такова действие. Процедурата по приемане на </w:t>
      </w:r>
      <w:r w:rsidR="00313A15" w:rsidRPr="00EA398A">
        <w:rPr>
          <w:rFonts w:ascii="Verdana" w:hAnsi="Verdana" w:cs="Times New Roman"/>
          <w:sz w:val="20"/>
          <w:szCs w:val="20"/>
        </w:rPr>
        <w:t xml:space="preserve">този </w:t>
      </w:r>
      <w:r w:rsidR="00700A06" w:rsidRPr="00EA398A">
        <w:rPr>
          <w:rFonts w:ascii="Verdana" w:hAnsi="Verdana" w:cs="Times New Roman"/>
          <w:sz w:val="20"/>
          <w:szCs w:val="20"/>
        </w:rPr>
        <w:t xml:space="preserve">нормативен акт отнема значителен период от време с оглед установените </w:t>
      </w:r>
      <w:r w:rsidR="00313A15" w:rsidRPr="00EA398A">
        <w:rPr>
          <w:rFonts w:ascii="Verdana" w:hAnsi="Verdana" w:cs="Times New Roman"/>
          <w:sz w:val="20"/>
          <w:szCs w:val="20"/>
        </w:rPr>
        <w:t>в законодателството срокове</w:t>
      </w:r>
      <w:r w:rsidR="00700A06" w:rsidRPr="00EA398A">
        <w:rPr>
          <w:rFonts w:ascii="Verdana" w:hAnsi="Verdana" w:cs="Times New Roman"/>
          <w:sz w:val="20"/>
          <w:szCs w:val="20"/>
        </w:rPr>
        <w:t>.</w:t>
      </w:r>
      <w:r w:rsidR="00C61047" w:rsidRPr="00EA398A">
        <w:rPr>
          <w:rFonts w:ascii="Verdana" w:hAnsi="Verdana" w:cs="Times New Roman"/>
          <w:sz w:val="20"/>
          <w:szCs w:val="20"/>
        </w:rPr>
        <w:t xml:space="preserve"> </w:t>
      </w:r>
      <w:r w:rsidR="00DD7EB0" w:rsidRPr="00EA398A">
        <w:rPr>
          <w:rFonts w:ascii="Verdana" w:hAnsi="Verdana" w:cs="Times New Roman"/>
          <w:sz w:val="20"/>
          <w:szCs w:val="20"/>
        </w:rPr>
        <w:t>Също така</w:t>
      </w:r>
      <w:r w:rsidR="00C61047" w:rsidRPr="00EA398A">
        <w:rPr>
          <w:rFonts w:ascii="Verdana" w:hAnsi="Verdana" w:cs="Times New Roman"/>
          <w:sz w:val="20"/>
          <w:szCs w:val="20"/>
        </w:rPr>
        <w:t>, за издаване на ваучерите се следва процедура</w:t>
      </w:r>
      <w:r w:rsidR="00313A15" w:rsidRPr="00EA398A">
        <w:rPr>
          <w:rFonts w:ascii="Verdana" w:hAnsi="Verdana" w:cs="Times New Roman"/>
          <w:sz w:val="20"/>
          <w:szCs w:val="20"/>
        </w:rPr>
        <w:t xml:space="preserve"> </w:t>
      </w:r>
      <w:r w:rsidR="00C61047" w:rsidRPr="00EA398A">
        <w:rPr>
          <w:rFonts w:ascii="Verdana" w:hAnsi="Verdana" w:cs="Times New Roman"/>
          <w:sz w:val="20"/>
          <w:szCs w:val="20"/>
        </w:rPr>
        <w:t xml:space="preserve">по Наредбата за условията и реда за отпечатване и контрол върху ценни книжа, която също води до увеличаване на срока за стартиране на </w:t>
      </w:r>
      <w:proofErr w:type="spellStart"/>
      <w:r w:rsidR="00C61047" w:rsidRPr="00EA398A">
        <w:rPr>
          <w:rFonts w:ascii="Verdana" w:hAnsi="Verdana" w:cs="Times New Roman"/>
          <w:sz w:val="20"/>
          <w:szCs w:val="20"/>
        </w:rPr>
        <w:t>подмярката</w:t>
      </w:r>
      <w:proofErr w:type="spellEnd"/>
      <w:r w:rsidR="00C61047" w:rsidRPr="00EA398A">
        <w:rPr>
          <w:rFonts w:ascii="Verdana" w:hAnsi="Verdana" w:cs="Times New Roman"/>
          <w:sz w:val="20"/>
          <w:szCs w:val="20"/>
        </w:rPr>
        <w:t xml:space="preserve">. Тези процедури ще </w:t>
      </w:r>
      <w:r w:rsidR="00700A06" w:rsidRPr="00EA398A">
        <w:rPr>
          <w:rFonts w:ascii="Verdana" w:hAnsi="Verdana" w:cs="Times New Roman"/>
          <w:sz w:val="20"/>
          <w:szCs w:val="20"/>
        </w:rPr>
        <w:t>забав</w:t>
      </w:r>
      <w:r w:rsidR="00C61047" w:rsidRPr="00EA398A">
        <w:rPr>
          <w:rFonts w:ascii="Verdana" w:hAnsi="Verdana" w:cs="Times New Roman"/>
          <w:sz w:val="20"/>
          <w:szCs w:val="20"/>
        </w:rPr>
        <w:t>ят</w:t>
      </w:r>
      <w:r w:rsidR="00700A06" w:rsidRPr="00EA398A">
        <w:rPr>
          <w:rFonts w:ascii="Verdana" w:hAnsi="Verdana" w:cs="Times New Roman"/>
          <w:sz w:val="20"/>
          <w:szCs w:val="20"/>
        </w:rPr>
        <w:t xml:space="preserve"> процеса на прилагане на </w:t>
      </w:r>
      <w:proofErr w:type="spellStart"/>
      <w:r w:rsidR="00C61047" w:rsidRPr="00EA398A">
        <w:rPr>
          <w:rFonts w:ascii="Verdana" w:hAnsi="Verdana" w:cs="Times New Roman"/>
          <w:sz w:val="20"/>
          <w:szCs w:val="20"/>
        </w:rPr>
        <w:t>подмярката</w:t>
      </w:r>
      <w:proofErr w:type="spellEnd"/>
      <w:r w:rsidR="00700A06" w:rsidRPr="00EA398A">
        <w:rPr>
          <w:rFonts w:ascii="Verdana" w:hAnsi="Verdana" w:cs="Times New Roman"/>
          <w:sz w:val="20"/>
          <w:szCs w:val="20"/>
        </w:rPr>
        <w:t>, поради което</w:t>
      </w:r>
      <w:r w:rsidR="00DD7EB0" w:rsidRPr="00EA398A">
        <w:rPr>
          <w:rFonts w:ascii="Verdana" w:hAnsi="Verdana" w:cs="Times New Roman"/>
          <w:sz w:val="20"/>
          <w:szCs w:val="20"/>
        </w:rPr>
        <w:t xml:space="preserve"> с цел осигуряване на възможност за обявяване на прием в кратък срок</w:t>
      </w:r>
      <w:r w:rsidR="007C0BE3" w:rsidRPr="00EA398A">
        <w:rPr>
          <w:rFonts w:ascii="Verdana" w:hAnsi="Verdana" w:cs="Times New Roman"/>
          <w:sz w:val="20"/>
          <w:szCs w:val="20"/>
        </w:rPr>
        <w:t>,</w:t>
      </w:r>
      <w:r w:rsidR="00DD7EB0" w:rsidRPr="00EA398A">
        <w:rPr>
          <w:rFonts w:ascii="Verdana" w:hAnsi="Verdana" w:cs="Times New Roman"/>
          <w:sz w:val="20"/>
          <w:szCs w:val="20"/>
        </w:rPr>
        <w:t xml:space="preserve"> </w:t>
      </w:r>
      <w:r w:rsidR="00700A06" w:rsidRPr="00EA398A">
        <w:rPr>
          <w:rFonts w:ascii="Verdana" w:hAnsi="Verdana" w:cs="Times New Roman"/>
          <w:sz w:val="20"/>
          <w:szCs w:val="20"/>
        </w:rPr>
        <w:t xml:space="preserve"> предлагаме да бъдат променени съответните текстове в ПРСР</w:t>
      </w:r>
      <w:r w:rsidR="00AF50B3" w:rsidRPr="00EA398A">
        <w:rPr>
          <w:rFonts w:ascii="Verdana" w:hAnsi="Verdana" w:cs="Times New Roman"/>
          <w:sz w:val="20"/>
          <w:szCs w:val="20"/>
        </w:rPr>
        <w:t xml:space="preserve"> 2014-2020 г.</w:t>
      </w:r>
    </w:p>
    <w:p w:rsidR="000122FA" w:rsidRDefault="00DD7EB0" w:rsidP="00313A15">
      <w:pPr>
        <w:spacing w:after="0" w:line="360" w:lineRule="auto"/>
        <w:ind w:firstLine="708"/>
        <w:jc w:val="both"/>
        <w:rPr>
          <w:rFonts w:ascii="Verdana" w:hAnsi="Verdana" w:cs="Times New Roman"/>
          <w:bCs/>
          <w:color w:val="000000"/>
          <w:sz w:val="20"/>
          <w:szCs w:val="20"/>
        </w:rPr>
      </w:pPr>
      <w:r w:rsidRPr="00EA398A">
        <w:rPr>
          <w:rFonts w:ascii="Verdana" w:hAnsi="Verdana" w:cs="Times New Roman"/>
          <w:sz w:val="20"/>
          <w:szCs w:val="20"/>
        </w:rPr>
        <w:t>В допълнение, с</w:t>
      </w:r>
      <w:r w:rsidR="001464C8" w:rsidRPr="00EA398A">
        <w:rPr>
          <w:rFonts w:ascii="Verdana" w:hAnsi="Verdana" w:cs="Times New Roman"/>
          <w:bCs/>
          <w:color w:val="000000"/>
          <w:sz w:val="20"/>
          <w:szCs w:val="20"/>
        </w:rPr>
        <w:t>ъгласно</w:t>
      </w:r>
      <w:r w:rsidR="009B7211" w:rsidRPr="00EA398A">
        <w:rPr>
          <w:rFonts w:ascii="Verdana" w:hAnsi="Verdana" w:cs="Times New Roman"/>
          <w:bCs/>
          <w:color w:val="000000"/>
          <w:sz w:val="20"/>
          <w:szCs w:val="20"/>
        </w:rPr>
        <w:t xml:space="preserve"> чл. 6 от Регламент за изпълнение (ЕС) № 808/2014 на Комисията от 17 юли 2014 година за определяне на правила за прилагането на Регламент (ЕС) № 1305/2013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(ЕЗФРСР) п</w:t>
      </w:r>
      <w:r w:rsidR="001464C8" w:rsidRPr="00EA398A">
        <w:rPr>
          <w:rFonts w:ascii="Verdana" w:hAnsi="Verdana" w:cs="Times New Roman"/>
          <w:bCs/>
          <w:color w:val="000000"/>
          <w:sz w:val="20"/>
          <w:szCs w:val="20"/>
        </w:rPr>
        <w:t>рилагането на ваучери е въпрос на избор на страната членка и не е задължителен мех</w:t>
      </w:r>
      <w:r w:rsidR="002C535D" w:rsidRPr="00EA398A">
        <w:rPr>
          <w:rFonts w:ascii="Verdana" w:hAnsi="Verdana" w:cs="Times New Roman"/>
          <w:bCs/>
          <w:color w:val="000000"/>
          <w:sz w:val="20"/>
          <w:szCs w:val="20"/>
        </w:rPr>
        <w:t>а</w:t>
      </w:r>
      <w:r w:rsidR="001464C8" w:rsidRPr="00EA398A">
        <w:rPr>
          <w:rFonts w:ascii="Verdana" w:hAnsi="Verdana" w:cs="Times New Roman"/>
          <w:bCs/>
          <w:color w:val="000000"/>
          <w:sz w:val="20"/>
          <w:szCs w:val="20"/>
        </w:rPr>
        <w:t>низъм.</w:t>
      </w:r>
    </w:p>
    <w:p w:rsidR="00DA5B13" w:rsidRPr="00EA398A" w:rsidRDefault="00DA5B13" w:rsidP="00313A15">
      <w:pPr>
        <w:spacing w:after="0" w:line="360" w:lineRule="auto"/>
        <w:ind w:firstLine="708"/>
        <w:jc w:val="both"/>
        <w:rPr>
          <w:rFonts w:ascii="Verdana" w:hAnsi="Verdana" w:cs="Times New Roman"/>
          <w:bCs/>
          <w:color w:val="000000"/>
          <w:sz w:val="20"/>
          <w:szCs w:val="20"/>
          <w:lang w:val="en-US"/>
        </w:rPr>
      </w:pPr>
    </w:p>
    <w:p w:rsidR="00666E06" w:rsidRPr="00475F00" w:rsidRDefault="00666E06" w:rsidP="00666E06">
      <w:pPr>
        <w:pStyle w:val="ListParagraph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Verdana" w:hAnsi="Verdana" w:cs="Times New Roman"/>
          <w:sz w:val="20"/>
          <w:szCs w:val="20"/>
        </w:rPr>
      </w:pPr>
      <w:r w:rsidRPr="00EA398A">
        <w:rPr>
          <w:rFonts w:ascii="Verdana" w:hAnsi="Verdana" w:cs="Times New Roman"/>
          <w:b/>
          <w:sz w:val="20"/>
          <w:szCs w:val="20"/>
        </w:rPr>
        <w:t xml:space="preserve">Управляващият орган предлага актуализиране на опростените разходи по отделните курсове и семинари подпомагани по </w:t>
      </w:r>
      <w:proofErr w:type="spellStart"/>
      <w:r w:rsidRPr="00EA398A">
        <w:rPr>
          <w:rFonts w:ascii="Verdana" w:hAnsi="Verdana" w:cs="Times New Roman"/>
          <w:b/>
          <w:sz w:val="20"/>
          <w:szCs w:val="20"/>
        </w:rPr>
        <w:t>подмярка</w:t>
      </w:r>
      <w:proofErr w:type="spellEnd"/>
      <w:r w:rsidRPr="00EA398A">
        <w:rPr>
          <w:rFonts w:ascii="Verdana" w:hAnsi="Verdana" w:cs="Times New Roman"/>
          <w:b/>
          <w:sz w:val="20"/>
          <w:szCs w:val="20"/>
        </w:rPr>
        <w:t xml:space="preserve"> 1.</w:t>
      </w:r>
      <w:proofErr w:type="spellStart"/>
      <w:r w:rsidRPr="00EA398A">
        <w:rPr>
          <w:rFonts w:ascii="Verdana" w:hAnsi="Verdana" w:cs="Times New Roman"/>
          <w:b/>
          <w:sz w:val="20"/>
          <w:szCs w:val="20"/>
        </w:rPr>
        <w:t>1</w:t>
      </w:r>
      <w:proofErr w:type="spellEnd"/>
      <w:r w:rsidRPr="00EA398A">
        <w:rPr>
          <w:rFonts w:ascii="Verdana" w:hAnsi="Verdana" w:cs="Times New Roman"/>
          <w:b/>
          <w:sz w:val="20"/>
          <w:szCs w:val="20"/>
        </w:rPr>
        <w:t>. „Професионално обучение и придобиване на умения“.</w:t>
      </w:r>
    </w:p>
    <w:p w:rsidR="00475F00" w:rsidRDefault="00475F00" w:rsidP="00475F00">
      <w:pPr>
        <w:pStyle w:val="ListParagraph"/>
        <w:spacing w:after="0" w:line="360" w:lineRule="auto"/>
        <w:ind w:left="0" w:firstLine="708"/>
        <w:jc w:val="both"/>
        <w:rPr>
          <w:rFonts w:ascii="Verdana" w:hAnsi="Verdana" w:cs="Times New Roman"/>
          <w:sz w:val="20"/>
          <w:szCs w:val="20"/>
        </w:rPr>
      </w:pPr>
    </w:p>
    <w:p w:rsidR="00475F00" w:rsidRPr="00475F00" w:rsidRDefault="00475F00" w:rsidP="00475F00">
      <w:pPr>
        <w:pStyle w:val="ListParagraph"/>
        <w:spacing w:after="0" w:line="360" w:lineRule="auto"/>
        <w:ind w:left="0" w:firstLine="708"/>
        <w:jc w:val="both"/>
        <w:rPr>
          <w:rFonts w:ascii="Verdana" w:hAnsi="Verdana" w:cs="Times New Roman"/>
          <w:sz w:val="20"/>
          <w:szCs w:val="20"/>
        </w:rPr>
      </w:pPr>
      <w:r w:rsidRPr="00475F00">
        <w:rPr>
          <w:rFonts w:ascii="Verdana" w:hAnsi="Verdana" w:cs="Times New Roman"/>
          <w:sz w:val="20"/>
          <w:szCs w:val="20"/>
        </w:rPr>
        <w:t>Изготвянето и актуализацията на опростените разходи е извършена от екип на Университета за национално и световно стопанство – гр. София по силата на сключен договор. Дейността по изготвяне на опростените разходи е документирана от страна на изпълнителя  в съответствие с т. 5.2.1.3 от Указанията на Европейската комисия за ОВР, като е използван подход определен съгласно чл. 67, параграф 5, буква „а“ от Регламент 1303/2013 за определяне на размера на опростения вариант на разходите, отговарящи на изискванията за коректен, справедлив и проверим метод на изчисление.</w:t>
      </w:r>
    </w:p>
    <w:p w:rsidR="001464C8" w:rsidRDefault="001464C8" w:rsidP="00475F00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</w:p>
    <w:p w:rsidR="00475F00" w:rsidRDefault="00475F00" w:rsidP="00475F00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</w:p>
    <w:p w:rsidR="00475F00" w:rsidRDefault="00475F00" w:rsidP="00475F00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</w:p>
    <w:p w:rsidR="00475F00" w:rsidRDefault="00475F00" w:rsidP="00475F00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</w:p>
    <w:p w:rsidR="00475F00" w:rsidRPr="00EA398A" w:rsidRDefault="00475F00" w:rsidP="00475F00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  <w:sectPr w:rsidR="00475F00" w:rsidRPr="00EA398A" w:rsidSect="00DA5B13">
          <w:footerReference w:type="default" r:id="rId9"/>
          <w:pgSz w:w="11906" w:h="16838"/>
          <w:pgMar w:top="851" w:right="1417" w:bottom="284" w:left="1417" w:header="142" w:footer="143" w:gutter="0"/>
          <w:cols w:space="708"/>
          <w:docGrid w:linePitch="360"/>
        </w:sectPr>
      </w:pPr>
    </w:p>
    <w:tbl>
      <w:tblPr>
        <w:tblW w:w="553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2835"/>
        <w:gridCol w:w="6237"/>
        <w:gridCol w:w="6237"/>
      </w:tblGrid>
      <w:tr w:rsidR="001464C8" w:rsidRPr="00EA398A" w:rsidTr="00531373">
        <w:tc>
          <w:tcPr>
            <w:tcW w:w="135" w:type="pct"/>
            <w:shd w:val="clear" w:color="auto" w:fill="D9D9D9"/>
          </w:tcPr>
          <w:p w:rsidR="001464C8" w:rsidRPr="00EA398A" w:rsidRDefault="001464C8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lastRenderedPageBreak/>
              <w:t>№</w:t>
            </w:r>
          </w:p>
        </w:tc>
        <w:tc>
          <w:tcPr>
            <w:tcW w:w="901" w:type="pct"/>
            <w:shd w:val="clear" w:color="auto" w:fill="D9D9D9"/>
            <w:vAlign w:val="center"/>
          </w:tcPr>
          <w:p w:rsidR="001464C8" w:rsidRPr="00EA398A" w:rsidRDefault="001464C8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Част от ПРСР в която се прави предложение за промяна</w:t>
            </w:r>
          </w:p>
        </w:tc>
        <w:tc>
          <w:tcPr>
            <w:tcW w:w="1982" w:type="pct"/>
            <w:shd w:val="clear" w:color="auto" w:fill="D9D9D9"/>
            <w:vAlign w:val="center"/>
          </w:tcPr>
          <w:p w:rsidR="001464C8" w:rsidRPr="00EA398A" w:rsidRDefault="001464C8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Настоящ текст</w:t>
            </w:r>
            <w:r w:rsidR="008210F0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на </w:t>
            </w:r>
            <w:proofErr w:type="spellStart"/>
            <w:r w:rsidR="008210F0">
              <w:rPr>
                <w:rFonts w:ascii="Verdana" w:hAnsi="Verdana" w:cs="Times New Roman"/>
                <w:b/>
                <w:bCs/>
                <w:sz w:val="16"/>
                <w:szCs w:val="16"/>
              </w:rPr>
              <w:t>подмярка</w:t>
            </w:r>
            <w:proofErr w:type="spellEnd"/>
            <w:r w:rsidR="008210F0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1.1</w:t>
            </w: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в ПРСР</w:t>
            </w:r>
          </w:p>
        </w:tc>
        <w:tc>
          <w:tcPr>
            <w:tcW w:w="1982" w:type="pct"/>
            <w:shd w:val="clear" w:color="auto" w:fill="D9D9D9"/>
            <w:vAlign w:val="center"/>
          </w:tcPr>
          <w:p w:rsidR="001464C8" w:rsidRPr="00EA398A" w:rsidRDefault="001464C8" w:rsidP="008210F0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6D0F61">
              <w:rPr>
                <w:rFonts w:ascii="Verdana" w:hAnsi="Verdana" w:cs="Times New Roman"/>
                <w:b/>
                <w:bCs/>
                <w:sz w:val="16"/>
                <w:szCs w:val="16"/>
              </w:rPr>
              <w:t>Предложение за нов текст</w:t>
            </w:r>
            <w:r w:rsidR="008210F0" w:rsidRPr="006D0F61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в</w:t>
            </w:r>
            <w:r w:rsidR="008210F0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8210F0">
              <w:rPr>
                <w:rFonts w:ascii="Verdana" w:hAnsi="Verdana" w:cs="Times New Roman"/>
                <w:b/>
                <w:bCs/>
                <w:sz w:val="16"/>
                <w:szCs w:val="16"/>
              </w:rPr>
              <w:t>подмярка</w:t>
            </w:r>
            <w:proofErr w:type="spellEnd"/>
            <w:r w:rsidR="008210F0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1.1 от</w:t>
            </w: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ПРСР</w:t>
            </w:r>
          </w:p>
        </w:tc>
      </w:tr>
      <w:tr w:rsidR="001464C8" w:rsidRPr="00EA398A" w:rsidTr="00531373">
        <w:trPr>
          <w:trHeight w:val="589"/>
        </w:trPr>
        <w:tc>
          <w:tcPr>
            <w:tcW w:w="13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464C8" w:rsidRPr="00EA398A" w:rsidRDefault="001464C8" w:rsidP="00EA398A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464C8" w:rsidRPr="00EA398A" w:rsidRDefault="001464C8" w:rsidP="00EA398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sz w:val="16"/>
                <w:szCs w:val="16"/>
              </w:rPr>
              <w:t>Мярка 1 „Трансфер на знания и действия за осведомяване“,</w:t>
            </w:r>
          </w:p>
          <w:p w:rsidR="001464C8" w:rsidRPr="00EA398A" w:rsidRDefault="001464C8" w:rsidP="00EA398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EA398A">
              <w:rPr>
                <w:rFonts w:ascii="Verdana" w:hAnsi="Verdana" w:cs="Times New Roman"/>
                <w:b/>
                <w:sz w:val="16"/>
                <w:szCs w:val="16"/>
              </w:rPr>
              <w:t>Подмярка</w:t>
            </w:r>
            <w:proofErr w:type="spellEnd"/>
            <w:r w:rsidRPr="00EA398A">
              <w:rPr>
                <w:rFonts w:ascii="Verdana" w:hAnsi="Verdana" w:cs="Times New Roman"/>
                <w:b/>
                <w:sz w:val="16"/>
                <w:szCs w:val="16"/>
              </w:rPr>
              <w:t xml:space="preserve"> 1.</w:t>
            </w:r>
            <w:proofErr w:type="spellStart"/>
            <w:r w:rsidRPr="00EA398A">
              <w:rPr>
                <w:rFonts w:ascii="Verdana" w:hAnsi="Verdana" w:cs="Times New Roman"/>
                <w:b/>
                <w:sz w:val="16"/>
                <w:szCs w:val="16"/>
              </w:rPr>
              <w:t>1</w:t>
            </w:r>
            <w:proofErr w:type="spellEnd"/>
            <w:r w:rsidRPr="00EA398A">
              <w:rPr>
                <w:rFonts w:ascii="Verdana" w:hAnsi="Verdana" w:cs="Times New Roman"/>
                <w:b/>
                <w:sz w:val="16"/>
                <w:szCs w:val="16"/>
              </w:rPr>
              <w:t>. Професионално обучение и придобиване на умения</w:t>
            </w:r>
          </w:p>
        </w:tc>
        <w:tc>
          <w:tcPr>
            <w:tcW w:w="1982" w:type="pct"/>
            <w:tcBorders>
              <w:bottom w:val="single" w:sz="4" w:space="0" w:color="auto"/>
            </w:tcBorders>
            <w:shd w:val="clear" w:color="auto" w:fill="D9D9D9"/>
          </w:tcPr>
          <w:p w:rsidR="001464C8" w:rsidRPr="00EA398A" w:rsidRDefault="001464C8" w:rsidP="00EA398A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82" w:type="pct"/>
            <w:tcBorders>
              <w:bottom w:val="single" w:sz="4" w:space="0" w:color="auto"/>
            </w:tcBorders>
            <w:shd w:val="clear" w:color="auto" w:fill="D9D9D9"/>
          </w:tcPr>
          <w:p w:rsidR="001464C8" w:rsidRPr="00EA398A" w:rsidRDefault="001464C8" w:rsidP="00EA398A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</w:p>
        </w:tc>
      </w:tr>
      <w:tr w:rsidR="001464C8" w:rsidRPr="00EA398A" w:rsidTr="00531373">
        <w:trPr>
          <w:trHeight w:val="223"/>
        </w:trPr>
        <w:tc>
          <w:tcPr>
            <w:tcW w:w="135" w:type="pct"/>
            <w:shd w:val="clear" w:color="auto" w:fill="auto"/>
            <w:vAlign w:val="center"/>
          </w:tcPr>
          <w:p w:rsidR="001464C8" w:rsidRPr="00EA398A" w:rsidRDefault="001464C8" w:rsidP="00EA398A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Cs/>
                <w:sz w:val="16"/>
                <w:szCs w:val="16"/>
              </w:rPr>
              <w:t>1.</w:t>
            </w:r>
          </w:p>
        </w:tc>
        <w:tc>
          <w:tcPr>
            <w:tcW w:w="901" w:type="pct"/>
            <w:shd w:val="clear" w:color="auto" w:fill="auto"/>
            <w:vAlign w:val="center"/>
          </w:tcPr>
          <w:p w:rsidR="001464C8" w:rsidRDefault="001464C8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Вид на подкрепата</w:t>
            </w:r>
          </w:p>
          <w:p w:rsidR="008210F0" w:rsidRPr="00EA398A" w:rsidRDefault="008210F0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Т. 8.2.1.3.1.2 от ПРСР</w:t>
            </w:r>
          </w:p>
        </w:tc>
        <w:tc>
          <w:tcPr>
            <w:tcW w:w="1982" w:type="pct"/>
            <w:shd w:val="clear" w:color="auto" w:fill="auto"/>
          </w:tcPr>
          <w:p w:rsidR="001464C8" w:rsidRPr="00EA398A" w:rsidRDefault="001464C8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A398A">
              <w:rPr>
                <w:rFonts w:ascii="Verdana" w:eastAsia="Times New Roman" w:hAnsi="Verdana" w:cs="Times New Roman"/>
                <w:sz w:val="16"/>
                <w:szCs w:val="16"/>
              </w:rPr>
              <w:t xml:space="preserve">Всички разходи се изплащат на бенефициента по 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</w:rPr>
              <w:t>подмярката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</w:rPr>
              <w:t xml:space="preserve">. При възстановяването на разходите се прилага система на ваучери. Ваучерите ще бъдат прилагани за всяка допустима дейност по 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</w:rPr>
              <w:t>подмярка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</w:rPr>
              <w:t xml:space="preserve"> 1.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</w:rPr>
              <w:t>1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</w:rPr>
              <w:t>. както следва: за курс с продължителност 30 часа, за курс с продължителност 150 часа, за специализиран курс с продължителност 100 часа, за семинар 8 часа, за семинар 18 часа.  </w:t>
            </w:r>
          </w:p>
          <w:p w:rsidR="001464C8" w:rsidRPr="00EA398A" w:rsidRDefault="001464C8" w:rsidP="00EA398A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82" w:type="pct"/>
            <w:shd w:val="clear" w:color="auto" w:fill="auto"/>
          </w:tcPr>
          <w:p w:rsidR="001464C8" w:rsidRPr="00EA398A" w:rsidRDefault="001464C8" w:rsidP="00EA398A">
            <w:pPr>
              <w:spacing w:after="0" w:line="240" w:lineRule="auto"/>
              <w:jc w:val="both"/>
              <w:rPr>
                <w:rFonts w:ascii="Verdana" w:hAnsi="Verdana" w:cs="Times New Roman"/>
                <w:strike/>
                <w:color w:val="FF0000"/>
                <w:sz w:val="16"/>
                <w:szCs w:val="16"/>
              </w:rPr>
            </w:pPr>
            <w:r w:rsidRPr="00EA398A">
              <w:rPr>
                <w:rFonts w:ascii="Verdana" w:eastAsia="Times New Roman" w:hAnsi="Verdana" w:cs="Times New Roman"/>
                <w:sz w:val="16"/>
                <w:szCs w:val="16"/>
              </w:rPr>
              <w:t xml:space="preserve">Всички разходи се изплащат на бенефициента по 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</w:rPr>
              <w:t>подмярката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  <w:u w:val="single"/>
              </w:rPr>
              <w:t xml:space="preserve">. </w:t>
            </w:r>
            <w:r w:rsidRPr="00EA398A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Безвъзмездната финансова помощ се предоставя под формата на </w:t>
            </w:r>
            <w:r w:rsidR="00313A15" w:rsidRPr="00EA398A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стандартни</w:t>
            </w:r>
            <w:r w:rsidRPr="00EA398A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 разходи за всяка допустима дейност</w:t>
            </w:r>
            <w:r w:rsidRPr="00EA398A">
              <w:rPr>
                <w:rFonts w:ascii="Verdana" w:eastAsia="Times New Roman" w:hAnsi="Verdana" w:cs="Times New Roman"/>
                <w:b/>
                <w:strike/>
                <w:color w:val="FF0000"/>
                <w:sz w:val="16"/>
                <w:szCs w:val="16"/>
              </w:rPr>
              <w:t xml:space="preserve">. </w:t>
            </w:r>
            <w:r w:rsidRPr="00EA398A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 xml:space="preserve">При възстановяването на разходите се прилага система на ваучери. Ваучерите ще бъдат прилагани за всяка допустима дейност </w:t>
            </w:r>
            <w:r w:rsidRPr="00EA398A">
              <w:rPr>
                <w:rFonts w:ascii="Verdana" w:eastAsia="Times New Roman" w:hAnsi="Verdana" w:cs="Times New Roman"/>
                <w:sz w:val="16"/>
                <w:szCs w:val="16"/>
              </w:rPr>
              <w:t xml:space="preserve">по 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</w:rPr>
              <w:t>подмярка</w:t>
            </w:r>
            <w:proofErr w:type="spellEnd"/>
            <w:r w:rsidRPr="00EA398A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 xml:space="preserve"> </w:t>
            </w:r>
            <w:r w:rsidRPr="00EA398A">
              <w:rPr>
                <w:rFonts w:ascii="Verdana" w:eastAsia="Times New Roman" w:hAnsi="Verdana" w:cs="Times New Roman"/>
                <w:sz w:val="16"/>
                <w:szCs w:val="16"/>
              </w:rPr>
              <w:t>1.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</w:rPr>
              <w:t>1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</w:rPr>
              <w:t>. както следва: за курс с продължителност 30 часа, за курс с продължителност 150 часа, за специализиран курс с продължителност 100 часа, за семинар 8 часа, за семинар 18 часа.</w:t>
            </w:r>
          </w:p>
        </w:tc>
      </w:tr>
      <w:tr w:rsidR="001464C8" w:rsidRPr="00EA398A" w:rsidTr="00531373">
        <w:trPr>
          <w:trHeight w:val="223"/>
        </w:trPr>
        <w:tc>
          <w:tcPr>
            <w:tcW w:w="135" w:type="pct"/>
            <w:shd w:val="clear" w:color="auto" w:fill="auto"/>
            <w:vAlign w:val="center"/>
          </w:tcPr>
          <w:p w:rsidR="001464C8" w:rsidRPr="00EA398A" w:rsidRDefault="006D0F61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val="en-US"/>
              </w:rPr>
              <w:t>2</w:t>
            </w:r>
            <w:r w:rsidR="001464C8"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>.</w:t>
            </w:r>
          </w:p>
        </w:tc>
        <w:tc>
          <w:tcPr>
            <w:tcW w:w="901" w:type="pct"/>
            <w:shd w:val="clear" w:color="auto" w:fill="auto"/>
            <w:vAlign w:val="center"/>
          </w:tcPr>
          <w:p w:rsidR="001464C8" w:rsidRDefault="001464C8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B01AE9">
              <w:rPr>
                <w:rFonts w:ascii="Verdana" w:eastAsia="Times New Roman" w:hAnsi="Verdana" w:cs="Times New Roman"/>
                <w:b/>
                <w:sz w:val="16"/>
                <w:szCs w:val="16"/>
              </w:rPr>
              <w:t>Методология за изчисляване на размера или процента на подпомагане, когато е уместно</w:t>
            </w:r>
          </w:p>
          <w:p w:rsidR="00655BCB" w:rsidRPr="00B01AE9" w:rsidRDefault="00655BCB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</w:p>
          <w:p w:rsidR="001464C8" w:rsidRPr="00655BCB" w:rsidRDefault="00655BCB" w:rsidP="00EA14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sz w:val="16"/>
                <w:szCs w:val="16"/>
                <w:lang w:val="en-GB"/>
              </w:rPr>
            </w:pPr>
            <w:r w:rsidRPr="00655BCB">
              <w:rPr>
                <w:rFonts w:ascii="Verdana" w:eastAsia="Times New Roman" w:hAnsi="Verdana" w:cs="Times New Roman"/>
                <w:b/>
                <w:sz w:val="16"/>
                <w:szCs w:val="16"/>
                <w:lang w:val="en-GB"/>
              </w:rPr>
              <w:t>Т. 8.2.1.3.1.</w:t>
            </w:r>
            <w:r w:rsidR="00EA148A">
              <w:rPr>
                <w:rFonts w:ascii="Verdana" w:eastAsia="Times New Roman" w:hAnsi="Verdana" w:cs="Times New Roman"/>
                <w:b/>
                <w:sz w:val="16"/>
                <w:szCs w:val="16"/>
              </w:rPr>
              <w:t>10</w:t>
            </w:r>
            <w:r w:rsidRPr="00655BCB">
              <w:rPr>
                <w:rFonts w:ascii="Verdana" w:eastAsia="Times New Roman" w:hAnsi="Verdana" w:cs="Times New Roman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655BCB">
              <w:rPr>
                <w:rFonts w:ascii="Verdana" w:eastAsia="Times New Roman" w:hAnsi="Verdana" w:cs="Times New Roman"/>
                <w:b/>
                <w:sz w:val="16"/>
                <w:szCs w:val="16"/>
                <w:lang w:val="en-GB"/>
              </w:rPr>
              <w:t>от</w:t>
            </w:r>
            <w:proofErr w:type="spellEnd"/>
            <w:r w:rsidRPr="00655BCB">
              <w:rPr>
                <w:rFonts w:ascii="Verdana" w:eastAsia="Times New Roman" w:hAnsi="Verdana" w:cs="Times New Roman"/>
                <w:b/>
                <w:sz w:val="16"/>
                <w:szCs w:val="16"/>
                <w:lang w:val="en-GB"/>
              </w:rPr>
              <w:t xml:space="preserve"> ПРСР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1464C8" w:rsidRPr="00B01AE9" w:rsidRDefault="001464C8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>Заплащането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 xml:space="preserve"> на 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>разходите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>за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>участниците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>ще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>става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>посредством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>ваучери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 xml:space="preserve">. </w:t>
            </w:r>
            <w:r w:rsidRPr="00B01AE9">
              <w:rPr>
                <w:rFonts w:ascii="Verdana" w:eastAsia="Times New Roman" w:hAnsi="Verdana" w:cs="Times New Roman"/>
                <w:sz w:val="16"/>
                <w:szCs w:val="16"/>
              </w:rPr>
              <w:t>Определянето на стойността на ваучерите за всеки вид обучение ще се базира на стандартни разходи, съгласно чл. 67, параграф 1, буква б) от Регламент (ЕС) № 1303/2013. При определянето на изчисленията за стандартните разходи ще се прилагат условията на чл. 67, параграф 5, буква а) от Регламент (ЕС) № 1303/2013.</w:t>
            </w:r>
          </w:p>
          <w:p w:rsidR="001464C8" w:rsidRPr="00B01AE9" w:rsidRDefault="001464C8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B01AE9">
              <w:rPr>
                <w:rFonts w:ascii="Verdana" w:eastAsia="Times New Roman" w:hAnsi="Verdana" w:cs="Times New Roman"/>
                <w:sz w:val="16"/>
                <w:szCs w:val="16"/>
              </w:rPr>
              <w:t xml:space="preserve">Стандартните разходи по </w:t>
            </w:r>
            <w:proofErr w:type="spellStart"/>
            <w:r w:rsidRPr="00B01AE9">
              <w:rPr>
                <w:rFonts w:ascii="Verdana" w:eastAsia="Times New Roman" w:hAnsi="Verdana" w:cs="Times New Roman"/>
                <w:sz w:val="16"/>
                <w:szCs w:val="16"/>
              </w:rPr>
              <w:t>подмярка</w:t>
            </w:r>
            <w:proofErr w:type="spellEnd"/>
            <w:r w:rsidRPr="00B01AE9">
              <w:rPr>
                <w:rFonts w:ascii="Verdana" w:eastAsia="Times New Roman" w:hAnsi="Verdana" w:cs="Times New Roman"/>
                <w:sz w:val="16"/>
                <w:szCs w:val="16"/>
              </w:rPr>
              <w:t xml:space="preserve"> 1.</w:t>
            </w:r>
            <w:proofErr w:type="spellStart"/>
            <w:r w:rsidRPr="00B01AE9">
              <w:rPr>
                <w:rFonts w:ascii="Verdana" w:eastAsia="Times New Roman" w:hAnsi="Verdana" w:cs="Times New Roman"/>
                <w:sz w:val="16"/>
                <w:szCs w:val="16"/>
              </w:rPr>
              <w:t>1</w:t>
            </w:r>
            <w:proofErr w:type="spellEnd"/>
            <w:r w:rsidRPr="00B01AE9">
              <w:rPr>
                <w:rFonts w:ascii="Verdana" w:eastAsia="Times New Roman" w:hAnsi="Verdana" w:cs="Times New Roman"/>
                <w:sz w:val="16"/>
                <w:szCs w:val="16"/>
              </w:rPr>
              <w:t>. са изчислени по методика, при която е  допуснато, че ще има пет вида курсове и информационни дейности (с продължителност 8 учебни часа, 18 учебни часа, 30 учебни часа, 100 учебни часа и 150 учебни часа - със събиране на участниците в обучението през предходния ден) и е определен стандартен разход за един участник  в съответния вид обучение. В методиката са приложени следните конкретни стъпки за изчисляване на разходите: определяне по видове обучения на средния брой обучаеми, средния брой учебни часове, средния брой нощувки и пансиони на един обучаем/лектор, средно разстояние очаквано за изминаване от един обучаем/лектор, средния брой на лекторите и членовете на екипа за организиране на съответното обучение и средни км за транспортни услуги (организиран превоз) до базите за практика; описание на дейностите по обучението, вкл. подготвителните дейности, дейностите по провеждане на обучението и дейностите по приключване и отчитане на обучението, както и на включените разходи по дейности  - в т.ч. и на общите разходи, които не могат да бъдат разделени и определени за отделни дейности; остойностяване на посочените дейности и изчисление на стандартните разходи.</w:t>
            </w:r>
          </w:p>
          <w:p w:rsidR="001464C8" w:rsidRPr="00B01AE9" w:rsidRDefault="001464C8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B01AE9">
              <w:rPr>
                <w:rFonts w:ascii="Verdana" w:eastAsia="Times New Roman" w:hAnsi="Verdana" w:cs="Times New Roman"/>
                <w:sz w:val="16"/>
                <w:szCs w:val="16"/>
              </w:rPr>
              <w:t>Стандартните разходи са изчислени от Управляващия орган на програмата на базата на практическия опит и информацията от прилагането на мярка 111 „Професионално обучение, информационни дейности и разпространение на научни знания“ от ПРСР 2007-2013 г.</w:t>
            </w:r>
          </w:p>
          <w:p w:rsidR="001464C8" w:rsidRPr="00EA398A" w:rsidRDefault="001464C8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B01AE9">
              <w:rPr>
                <w:rFonts w:ascii="Verdana" w:eastAsia="Times New Roman" w:hAnsi="Verdana" w:cs="Times New Roman"/>
                <w:sz w:val="16"/>
                <w:szCs w:val="16"/>
              </w:rPr>
              <w:t xml:space="preserve">Адекватността и точността на изчисленията е потвърдена от Съюза на икономистите в България, който е функционално независим орган от Министерство на земеделието, храните и горите и Държавен фонд „Земеделие“ по смисъла на чл.62, </w:t>
            </w:r>
            <w:proofErr w:type="spellStart"/>
            <w:r w:rsidRPr="00B01AE9">
              <w:rPr>
                <w:rFonts w:ascii="Verdana" w:eastAsia="Times New Roman" w:hAnsi="Verdana" w:cs="Times New Roman"/>
                <w:sz w:val="16"/>
                <w:szCs w:val="16"/>
              </w:rPr>
              <w:t>пар</w:t>
            </w:r>
            <w:proofErr w:type="spellEnd"/>
            <w:r w:rsidRPr="00B01AE9">
              <w:rPr>
                <w:rFonts w:ascii="Verdana" w:eastAsia="Times New Roman" w:hAnsi="Verdana" w:cs="Times New Roman"/>
                <w:sz w:val="16"/>
                <w:szCs w:val="16"/>
              </w:rPr>
              <w:t>.2 от Регламент 1305/2013. Удостоверението, потвърждаващо адекватността</w:t>
            </w:r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 xml:space="preserve"> и 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>точността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 xml:space="preserve"> на 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lastRenderedPageBreak/>
              <w:t>изчисленията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 xml:space="preserve"> е 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>представено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 xml:space="preserve"> в 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>част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 xml:space="preserve"> 18.2 на </w:t>
            </w:r>
            <w:proofErr w:type="spellStart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>програмата</w:t>
            </w:r>
            <w:proofErr w:type="spellEnd"/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>.</w:t>
            </w:r>
          </w:p>
        </w:tc>
        <w:tc>
          <w:tcPr>
            <w:tcW w:w="1982" w:type="pct"/>
            <w:shd w:val="clear" w:color="auto" w:fill="auto"/>
          </w:tcPr>
          <w:p w:rsidR="001464C8" w:rsidRPr="00EA398A" w:rsidRDefault="001464C8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</w:pPr>
            <w:r w:rsidRPr="00EA398A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lastRenderedPageBreak/>
              <w:t>Заплащането на разходите за участниците ще става посредством ваучери.</w:t>
            </w:r>
            <w:r w:rsidRPr="00EA398A">
              <w:rPr>
                <w:rFonts w:ascii="Verdana" w:eastAsia="Times New Roman" w:hAnsi="Verdana" w:cs="Times New Roman"/>
                <w:sz w:val="16"/>
                <w:szCs w:val="16"/>
              </w:rPr>
              <w:t xml:space="preserve"> Определянето на стойността на </w:t>
            </w:r>
            <w:r w:rsidRPr="00EA398A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>ваучерите за</w:t>
            </w:r>
            <w:r w:rsidRPr="00EA398A">
              <w:rPr>
                <w:rFonts w:ascii="Verdana" w:eastAsia="Times New Roman" w:hAnsi="Verdana" w:cs="Times New Roman"/>
                <w:sz w:val="16"/>
                <w:szCs w:val="16"/>
              </w:rPr>
              <w:t xml:space="preserve"> всеки вид обучение ще се базира на стандартни разходи, съгласно чл. 67, параграф 1, буква б) от Регламент (ЕС) № 1303/2013. При определянето на изчисленията за стандартните разходи ще се прилагат условията на чл. 67, параграф 5, буква а) от Регламент (ЕС) № 1303</w:t>
            </w:r>
            <w:r w:rsidRPr="00EA398A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>/2013.</w:t>
            </w:r>
          </w:p>
          <w:p w:rsidR="000711F8" w:rsidRDefault="000711F8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Изчисленията на стандартните разходи са извършени от екип на Университета за национално и световно стопанство, гр. София, който е функционално независим орган от Министерство на земеделието, храните и горите и Държавен фонд „Земеделие“, съгласно чл. 62, </w:t>
            </w:r>
            <w:proofErr w:type="spellStart"/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пар</w:t>
            </w:r>
            <w:proofErr w:type="spellEnd"/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. 2 от Регламент 1305/2013 и който притежава подходящите експертни знания</w:t>
            </w:r>
            <w:r w:rsidR="00120F75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.</w:t>
            </w:r>
          </w:p>
          <w:p w:rsidR="00B01AE9" w:rsidRDefault="00B01AE9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475F00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Дейността по изготвяне на опростените разходи е документирана от страна на изпълнителя  в съответствие с т. 5.2.1.3 от Указанията на Европейската комисия за ОВР, като е използван подход определен съгласно чл. 67, параграф 5, буква „а“ от Регламент 1303/2013 за определяне на размера на опростения вариант на разходите, отговарящи на изискванията за коректен, справедлив и проверим метод на изчисление.</w:t>
            </w:r>
          </w:p>
          <w:p w:rsidR="000711F8" w:rsidRPr="000711F8" w:rsidRDefault="000711F8" w:rsidP="000711F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Разходите са изчислени въз основа на пазарни проучвания на цените, които могат да бъдат проверени. </w:t>
            </w:r>
          </w:p>
          <w:p w:rsidR="000711F8" w:rsidRPr="000711F8" w:rsidRDefault="000711F8" w:rsidP="000711F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Подходът на изчисление е пазарен, т.е. използван е метод на сравнителните аналози. При този метод за оценка стойността се определя чрез пряко сравнение на пазарни цени на продукти или услуги със сходни характеристики, към определен момент.</w:t>
            </w:r>
          </w:p>
          <w:p w:rsidR="000711F8" w:rsidRPr="000711F8" w:rsidRDefault="000711F8" w:rsidP="000711F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Методиката, използвана за обработка и анализ на получената информация, както и извеждане и тестване на индикативни нива на опростени разходи, по определените видове допустими разходи е определена на база Указанията за опростените варианти за разходите  (ОВР) на Европейската комисия. </w:t>
            </w:r>
          </w:p>
          <w:p w:rsidR="000711F8" w:rsidRPr="000711F8" w:rsidRDefault="000711F8" w:rsidP="000711F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Част от данните включени в индикативните нива на опростените разходи са на база  нормативни документи и или официална статистика. </w:t>
            </w:r>
          </w:p>
          <w:p w:rsidR="000711F8" w:rsidRPr="000711F8" w:rsidRDefault="000711F8" w:rsidP="000711F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Използваната методика включва:</w:t>
            </w:r>
          </w:p>
          <w:p w:rsidR="000711F8" w:rsidRPr="000711F8" w:rsidRDefault="000711F8" w:rsidP="000711F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lastRenderedPageBreak/>
              <w:t>-</w:t>
            </w:r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ab/>
              <w:t>описанието на метода на изчисление, в това число основните етапи на изчислението;</w:t>
            </w:r>
          </w:p>
          <w:p w:rsidR="000711F8" w:rsidRPr="000711F8" w:rsidRDefault="000711F8" w:rsidP="000711F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-</w:t>
            </w:r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ab/>
              <w:t>източниците на данните, които са използвани за анализа и изчислението, включително оценка на значението на данните по отношение на предвидените операции и оценка на качеството им;</w:t>
            </w:r>
          </w:p>
          <w:p w:rsidR="000711F8" w:rsidRPr="000711F8" w:rsidRDefault="000711F8" w:rsidP="000711F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-</w:t>
            </w:r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ab/>
              <w:t>самото изчисление за определяне на съответната стойност на единната ставка на размерите на сумите за финансиране на дейности за организация и управление на проекти;</w:t>
            </w:r>
          </w:p>
          <w:p w:rsidR="000711F8" w:rsidRPr="000711F8" w:rsidRDefault="000711F8" w:rsidP="000711F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-</w:t>
            </w:r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ab/>
              <w:t>мотивите за избор на данни в съвкупността, на база на които ще бъде определена единната ставка.</w:t>
            </w:r>
          </w:p>
          <w:p w:rsidR="000711F8" w:rsidRPr="000711F8" w:rsidRDefault="000711F8" w:rsidP="000711F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-</w:t>
            </w:r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ab/>
            </w:r>
            <w:r w:rsidR="00120F75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д</w:t>
            </w:r>
            <w:r w:rsidRPr="000711F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екомпозиране на единичните разходи по видове и изчисляване на опростени разходи според заданието.</w:t>
            </w:r>
          </w:p>
          <w:p w:rsidR="00B01AE9" w:rsidRPr="00B01AE9" w:rsidRDefault="001464C8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trike/>
                <w:sz w:val="16"/>
                <w:szCs w:val="16"/>
              </w:rPr>
            </w:pPr>
            <w:r w:rsidRPr="00B01AE9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 xml:space="preserve">Стандартните разходи по </w:t>
            </w:r>
            <w:proofErr w:type="spellStart"/>
            <w:r w:rsidRPr="00B01AE9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>подмярка</w:t>
            </w:r>
            <w:proofErr w:type="spellEnd"/>
            <w:r w:rsidRPr="00B01AE9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 xml:space="preserve"> 1.</w:t>
            </w:r>
            <w:proofErr w:type="spellStart"/>
            <w:r w:rsidRPr="00B01AE9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>1</w:t>
            </w:r>
            <w:proofErr w:type="spellEnd"/>
            <w:r w:rsidRPr="00B01AE9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>. са изчислени по методика, при която е  допуснато, че ще има пет вида курсове и информационни дейности (с продължителност 8 учебни часа, 18 учебни часа, 30 учебни часа, 100 учебни часа и 150 учебни часа - със събиране на участниците в обучението през предходния ден) и е определен стандартен разход за един участник  в съответния вид обучение.</w:t>
            </w:r>
          </w:p>
          <w:p w:rsidR="001464C8" w:rsidRPr="00385A3E" w:rsidRDefault="001464C8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trike/>
                <w:sz w:val="16"/>
                <w:szCs w:val="16"/>
              </w:rPr>
            </w:pPr>
            <w:r w:rsidRPr="00385A3E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 xml:space="preserve"> В методиката са приложени следните конкретни стъпки за изчисляване на разходите: определяне по видове обучения на средния брой обучаеми, средния брой учебни часове, средния брой нощувки и пансиони на един обучаем/лектор, средно разстояние очаквано за изминаване от един обучаем/лектор, средния брой на лекторите и членовете на екипа за организиране на съответното обучение и средни км за транспортни услуги (организиран превоз) до базите за практика; описание на дейностите по обучението, вкл. подготвителните дейности, дейностите по провеждане на обучението и дейностите по приключване и отчитане на обучението, както и на включените разходи по дейности  - в т.ч. и на общите разходи, които не могат да бъдат разделени и определени за отделни дейности; остойностяване на посочените дейности и изчисление на стандартните разходи.</w:t>
            </w:r>
          </w:p>
          <w:p w:rsidR="001464C8" w:rsidRPr="00385A3E" w:rsidRDefault="001464C8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trike/>
                <w:sz w:val="16"/>
                <w:szCs w:val="16"/>
              </w:rPr>
            </w:pPr>
            <w:r w:rsidRPr="00385A3E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>Стандартните разходи са изчислени от Управляващия орган на програмата на базата на практическия опит и информацията от прилагането на мярка 111 „Професионално обучение, информационни дейности и разпространение на научни знания“ от ПРСР 2007-2013 г.</w:t>
            </w:r>
          </w:p>
          <w:p w:rsidR="001464C8" w:rsidRPr="00385A3E" w:rsidRDefault="001464C8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trike/>
                <w:sz w:val="16"/>
                <w:szCs w:val="16"/>
              </w:rPr>
            </w:pPr>
            <w:r w:rsidRPr="00385A3E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 xml:space="preserve">Адекватността и точността на изчисленията е потвърдена от Съюза на икономистите в България, който е функционално независим орган от Министерство на земеделието, храните и горите и Държавен фонд „Земеделие“ по смисъла на чл.62, </w:t>
            </w:r>
            <w:proofErr w:type="spellStart"/>
            <w:r w:rsidRPr="00385A3E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>пар</w:t>
            </w:r>
            <w:proofErr w:type="spellEnd"/>
            <w:r w:rsidRPr="00385A3E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>.2 от Регламент 1305/2013. Удостоверението, потвърждаващо адекватността и точността на изчисленията е представено в част 18.2 на програмата.</w:t>
            </w:r>
          </w:p>
          <w:p w:rsidR="00385A3E" w:rsidRPr="00EA398A" w:rsidRDefault="00385A3E" w:rsidP="00B01AE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FF0000"/>
                <w:sz w:val="16"/>
                <w:szCs w:val="16"/>
                <w:u w:val="single"/>
              </w:rPr>
            </w:pPr>
          </w:p>
        </w:tc>
      </w:tr>
    </w:tbl>
    <w:p w:rsidR="000122FA" w:rsidRPr="0066335D" w:rsidRDefault="000122FA" w:rsidP="00531373">
      <w:pPr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0122FA" w:rsidRPr="0066335D" w:rsidSect="00531373">
      <w:pgSz w:w="16838" w:h="11906" w:orient="landscape"/>
      <w:pgMar w:top="142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E7D" w:rsidRDefault="007C5E7D" w:rsidP="0039528E">
      <w:pPr>
        <w:spacing w:after="0" w:line="240" w:lineRule="auto"/>
      </w:pPr>
      <w:r>
        <w:separator/>
      </w:r>
    </w:p>
  </w:endnote>
  <w:endnote w:type="continuationSeparator" w:id="0">
    <w:p w:rsidR="007C5E7D" w:rsidRDefault="007C5E7D" w:rsidP="00395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6343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528E" w:rsidRDefault="003952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186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528E" w:rsidRDefault="003952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E7D" w:rsidRDefault="007C5E7D" w:rsidP="0039528E">
      <w:pPr>
        <w:spacing w:after="0" w:line="240" w:lineRule="auto"/>
      </w:pPr>
      <w:r>
        <w:separator/>
      </w:r>
    </w:p>
  </w:footnote>
  <w:footnote w:type="continuationSeparator" w:id="0">
    <w:p w:rsidR="007C5E7D" w:rsidRDefault="007C5E7D" w:rsidP="00395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F12C3"/>
    <w:multiLevelType w:val="hybridMultilevel"/>
    <w:tmpl w:val="D60AE8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2335E"/>
    <w:multiLevelType w:val="hybridMultilevel"/>
    <w:tmpl w:val="9F6ECE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22B24"/>
    <w:multiLevelType w:val="hybridMultilevel"/>
    <w:tmpl w:val="6FFC7D8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1BD6102"/>
    <w:multiLevelType w:val="hybridMultilevel"/>
    <w:tmpl w:val="929E487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64C3702"/>
    <w:multiLevelType w:val="hybridMultilevel"/>
    <w:tmpl w:val="03BEE2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1E6367"/>
    <w:multiLevelType w:val="hybridMultilevel"/>
    <w:tmpl w:val="DE24CF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436603"/>
    <w:multiLevelType w:val="multilevel"/>
    <w:tmpl w:val="A09AD310"/>
    <w:numStyleLink w:val="Headings"/>
  </w:abstractNum>
  <w:abstractNum w:abstractNumId="7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8">
    <w:nsid w:val="555C0274"/>
    <w:multiLevelType w:val="hybridMultilevel"/>
    <w:tmpl w:val="87ECF7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594894"/>
    <w:multiLevelType w:val="multilevel"/>
    <w:tmpl w:val="A09AD310"/>
    <w:styleLink w:val="Headings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26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>
    <w:nsid w:val="5ADB40C6"/>
    <w:multiLevelType w:val="hybridMultilevel"/>
    <w:tmpl w:val="6E680F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C73573"/>
    <w:multiLevelType w:val="hybridMultilevel"/>
    <w:tmpl w:val="7A0C7C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046564"/>
    <w:multiLevelType w:val="hybridMultilevel"/>
    <w:tmpl w:val="11C4C9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230544"/>
    <w:multiLevelType w:val="hybridMultilevel"/>
    <w:tmpl w:val="72230544"/>
    <w:lvl w:ilvl="0" w:tplc="2F3459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49ADD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5FC63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BDA4D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B407D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D582D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04CB7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080A0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98406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>
    <w:nsid w:val="75557DEC"/>
    <w:multiLevelType w:val="hybridMultilevel"/>
    <w:tmpl w:val="96DCE31C"/>
    <w:lvl w:ilvl="0" w:tplc="A9AEEA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10"/>
  </w:num>
  <w:num w:numId="5">
    <w:abstractNumId w:val="1"/>
  </w:num>
  <w:num w:numId="6">
    <w:abstractNumId w:val="12"/>
  </w:num>
  <w:num w:numId="7">
    <w:abstractNumId w:val="3"/>
  </w:num>
  <w:num w:numId="8">
    <w:abstractNumId w:val="2"/>
  </w:num>
  <w:num w:numId="9">
    <w:abstractNumId w:val="0"/>
  </w:num>
  <w:num w:numId="10">
    <w:abstractNumId w:val="8"/>
  </w:num>
  <w:num w:numId="11">
    <w:abstractNumId w:val="9"/>
  </w:num>
  <w:num w:numId="12">
    <w:abstractNumId w:val="6"/>
  </w:num>
  <w:num w:numId="13">
    <w:abstractNumId w:val="7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F4D"/>
    <w:rsid w:val="000122FA"/>
    <w:rsid w:val="00036592"/>
    <w:rsid w:val="00044429"/>
    <w:rsid w:val="00060D89"/>
    <w:rsid w:val="00061E68"/>
    <w:rsid w:val="00063202"/>
    <w:rsid w:val="00070D87"/>
    <w:rsid w:val="000711F8"/>
    <w:rsid w:val="0009360E"/>
    <w:rsid w:val="000F3B34"/>
    <w:rsid w:val="00120F75"/>
    <w:rsid w:val="001464C8"/>
    <w:rsid w:val="0015310C"/>
    <w:rsid w:val="00173D23"/>
    <w:rsid w:val="001E2C3D"/>
    <w:rsid w:val="001E47ED"/>
    <w:rsid w:val="0021024C"/>
    <w:rsid w:val="0021565A"/>
    <w:rsid w:val="00232F4B"/>
    <w:rsid w:val="002460F2"/>
    <w:rsid w:val="00251867"/>
    <w:rsid w:val="00266328"/>
    <w:rsid w:val="00280287"/>
    <w:rsid w:val="002B015A"/>
    <w:rsid w:val="002C535D"/>
    <w:rsid w:val="002E48CC"/>
    <w:rsid w:val="002F1106"/>
    <w:rsid w:val="002F5A0C"/>
    <w:rsid w:val="00310593"/>
    <w:rsid w:val="00313A15"/>
    <w:rsid w:val="003166E8"/>
    <w:rsid w:val="00330392"/>
    <w:rsid w:val="003336D4"/>
    <w:rsid w:val="00385A3E"/>
    <w:rsid w:val="0039528E"/>
    <w:rsid w:val="003B08E8"/>
    <w:rsid w:val="003E081A"/>
    <w:rsid w:val="00416AED"/>
    <w:rsid w:val="004352A2"/>
    <w:rsid w:val="004524AA"/>
    <w:rsid w:val="00475F00"/>
    <w:rsid w:val="004B06DD"/>
    <w:rsid w:val="004D6C6F"/>
    <w:rsid w:val="00531373"/>
    <w:rsid w:val="00560F36"/>
    <w:rsid w:val="00561E0F"/>
    <w:rsid w:val="00562325"/>
    <w:rsid w:val="005A3F03"/>
    <w:rsid w:val="005B499D"/>
    <w:rsid w:val="005E7479"/>
    <w:rsid w:val="00627292"/>
    <w:rsid w:val="0063062D"/>
    <w:rsid w:val="00655BCB"/>
    <w:rsid w:val="0066335D"/>
    <w:rsid w:val="00666E06"/>
    <w:rsid w:val="00685AB3"/>
    <w:rsid w:val="00686D31"/>
    <w:rsid w:val="006C2CC4"/>
    <w:rsid w:val="006D0F61"/>
    <w:rsid w:val="00700A06"/>
    <w:rsid w:val="00706595"/>
    <w:rsid w:val="00716F43"/>
    <w:rsid w:val="00722FAC"/>
    <w:rsid w:val="00737EC3"/>
    <w:rsid w:val="00745977"/>
    <w:rsid w:val="00754DE6"/>
    <w:rsid w:val="00766717"/>
    <w:rsid w:val="007813C7"/>
    <w:rsid w:val="0078287A"/>
    <w:rsid w:val="00794EFF"/>
    <w:rsid w:val="007C0BE3"/>
    <w:rsid w:val="007C5E7D"/>
    <w:rsid w:val="007D2D38"/>
    <w:rsid w:val="007F4CB0"/>
    <w:rsid w:val="00800597"/>
    <w:rsid w:val="008042E0"/>
    <w:rsid w:val="00815796"/>
    <w:rsid w:val="008210F0"/>
    <w:rsid w:val="0084626A"/>
    <w:rsid w:val="00875488"/>
    <w:rsid w:val="008A3DF4"/>
    <w:rsid w:val="008C74E1"/>
    <w:rsid w:val="008E611B"/>
    <w:rsid w:val="00904550"/>
    <w:rsid w:val="00913B78"/>
    <w:rsid w:val="00982E05"/>
    <w:rsid w:val="009B7211"/>
    <w:rsid w:val="009C7F38"/>
    <w:rsid w:val="009D6EF7"/>
    <w:rsid w:val="009F0F8C"/>
    <w:rsid w:val="00A15DCD"/>
    <w:rsid w:val="00A212F8"/>
    <w:rsid w:val="00A47FCF"/>
    <w:rsid w:val="00A546C4"/>
    <w:rsid w:val="00A81476"/>
    <w:rsid w:val="00AC760A"/>
    <w:rsid w:val="00AD014F"/>
    <w:rsid w:val="00AF50B3"/>
    <w:rsid w:val="00B01AE9"/>
    <w:rsid w:val="00B063C3"/>
    <w:rsid w:val="00B15518"/>
    <w:rsid w:val="00B212A5"/>
    <w:rsid w:val="00B318D7"/>
    <w:rsid w:val="00B32F4D"/>
    <w:rsid w:val="00B4444C"/>
    <w:rsid w:val="00B65D08"/>
    <w:rsid w:val="00B669EE"/>
    <w:rsid w:val="00BB0FE0"/>
    <w:rsid w:val="00BB10AE"/>
    <w:rsid w:val="00BC3B9D"/>
    <w:rsid w:val="00BF5889"/>
    <w:rsid w:val="00C23E3F"/>
    <w:rsid w:val="00C61047"/>
    <w:rsid w:val="00C95F78"/>
    <w:rsid w:val="00CC361C"/>
    <w:rsid w:val="00CE3DB8"/>
    <w:rsid w:val="00CE714D"/>
    <w:rsid w:val="00CF26DB"/>
    <w:rsid w:val="00D36B33"/>
    <w:rsid w:val="00D3789A"/>
    <w:rsid w:val="00D631BE"/>
    <w:rsid w:val="00D634CE"/>
    <w:rsid w:val="00DA1AAD"/>
    <w:rsid w:val="00DA5B13"/>
    <w:rsid w:val="00DD7513"/>
    <w:rsid w:val="00DD7EB0"/>
    <w:rsid w:val="00DF3258"/>
    <w:rsid w:val="00E00519"/>
    <w:rsid w:val="00E02E16"/>
    <w:rsid w:val="00E54411"/>
    <w:rsid w:val="00E569DB"/>
    <w:rsid w:val="00E868AC"/>
    <w:rsid w:val="00E90E12"/>
    <w:rsid w:val="00EA148A"/>
    <w:rsid w:val="00EA398A"/>
    <w:rsid w:val="00EC24D3"/>
    <w:rsid w:val="00ED0477"/>
    <w:rsid w:val="00ED4586"/>
    <w:rsid w:val="00EE601E"/>
    <w:rsid w:val="00F16665"/>
    <w:rsid w:val="00F44947"/>
    <w:rsid w:val="00F52022"/>
    <w:rsid w:val="00F547D0"/>
    <w:rsid w:val="00F633A5"/>
    <w:rsid w:val="00F74F92"/>
    <w:rsid w:val="00FE1120"/>
    <w:rsid w:val="00FE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D3789A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D3789A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0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62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28E"/>
  </w:style>
  <w:style w:type="paragraph" w:styleId="Footer">
    <w:name w:val="footer"/>
    <w:basedOn w:val="Normal"/>
    <w:link w:val="Foot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28E"/>
  </w:style>
  <w:style w:type="character" w:customStyle="1" w:styleId="Heading1Char">
    <w:name w:val="Heading 1 Char"/>
    <w:basedOn w:val="DefaultParagraphFont"/>
    <w:link w:val="Heading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11B"/>
    <w:rPr>
      <w:rFonts w:ascii="Tahoma" w:hAnsi="Tahoma" w:cs="Tahoma"/>
      <w:sz w:val="16"/>
      <w:szCs w:val="16"/>
    </w:rPr>
  </w:style>
  <w:style w:type="paragraph" w:customStyle="1" w:styleId="ListDash4">
    <w:name w:val="List Dash 4"/>
    <w:basedOn w:val="Normal"/>
    <w:rsid w:val="0066335D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D3789A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D3789A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0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62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28E"/>
  </w:style>
  <w:style w:type="paragraph" w:styleId="Footer">
    <w:name w:val="footer"/>
    <w:basedOn w:val="Normal"/>
    <w:link w:val="Foot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28E"/>
  </w:style>
  <w:style w:type="character" w:customStyle="1" w:styleId="Heading1Char">
    <w:name w:val="Heading 1 Char"/>
    <w:basedOn w:val="DefaultParagraphFont"/>
    <w:link w:val="Heading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11B"/>
    <w:rPr>
      <w:rFonts w:ascii="Tahoma" w:hAnsi="Tahoma" w:cs="Tahoma"/>
      <w:sz w:val="16"/>
      <w:szCs w:val="16"/>
    </w:rPr>
  </w:style>
  <w:style w:type="paragraph" w:customStyle="1" w:styleId="ListDash4">
    <w:name w:val="List Dash 4"/>
    <w:basedOn w:val="Normal"/>
    <w:rsid w:val="0066335D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0EE7A-8985-4C18-B161-9FF9F55B0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Snezhana Grigorova</cp:lastModifiedBy>
  <cp:revision>3</cp:revision>
  <cp:lastPrinted>2018-11-27T13:15:00Z</cp:lastPrinted>
  <dcterms:created xsi:type="dcterms:W3CDTF">2018-11-26T19:22:00Z</dcterms:created>
  <dcterms:modified xsi:type="dcterms:W3CDTF">2018-11-27T13:16:00Z</dcterms:modified>
</cp:coreProperties>
</file>